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3D998" w14:textId="77777777" w:rsidR="00100C98" w:rsidRDefault="00100C98" w:rsidP="00100C98">
      <w:pPr>
        <w:pStyle w:val="TSP31tex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Supplementary Materials</w:t>
      </w:r>
    </w:p>
    <w:p w14:paraId="535F6DAA" w14:textId="77777777" w:rsidR="00100C98" w:rsidRDefault="00100C98" w:rsidP="00100C98">
      <w:pPr>
        <w:pStyle w:val="TSP31text"/>
        <w:rPr>
          <w:rFonts w:eastAsia="宋体"/>
          <w:sz w:val="20"/>
          <w:szCs w:val="20"/>
          <w:lang w:eastAsia="zh-CN"/>
        </w:rPr>
      </w:pPr>
      <w:r>
        <w:rPr>
          <w:rFonts w:eastAsia="宋体"/>
          <w:b/>
          <w:bCs/>
          <w:sz w:val="20"/>
          <w:szCs w:val="20"/>
          <w:lang w:eastAsia="en-US"/>
        </w:rPr>
        <w:t>Supplementary Figure S1</w:t>
      </w:r>
      <w:r>
        <w:rPr>
          <w:rFonts w:eastAsia="宋体"/>
          <w:sz w:val="20"/>
          <w:szCs w:val="20"/>
          <w:lang w:eastAsia="en-US"/>
        </w:rPr>
        <w:t xml:space="preserve">. </w:t>
      </w:r>
      <w:r>
        <w:rPr>
          <w:sz w:val="20"/>
          <w:szCs w:val="20"/>
          <w:lang w:eastAsia="zh-CN"/>
        </w:rPr>
        <w:t>Representative dot plots for analyses of CD69 and CD71 expression in T lymphocytes. (A) Proportions of CD69</w:t>
      </w:r>
      <w:r>
        <w:rPr>
          <w:sz w:val="20"/>
          <w:szCs w:val="20"/>
          <w:vertAlign w:val="superscript"/>
          <w:lang w:eastAsia="zh-CN"/>
        </w:rPr>
        <w:t>+</w:t>
      </w:r>
      <w:r>
        <w:rPr>
          <w:sz w:val="20"/>
          <w:szCs w:val="20"/>
          <w:lang w:eastAsia="zh-CN"/>
        </w:rPr>
        <w:t xml:space="preserve"> cells in T lymphocytes. (B) MFI of CD71 in T </w:t>
      </w:r>
      <w:r>
        <w:rPr>
          <w:rFonts w:eastAsia="宋体"/>
          <w:sz w:val="20"/>
          <w:szCs w:val="20"/>
          <w:lang w:eastAsia="zh-CN"/>
        </w:rPr>
        <w:t>lymphocytes. MFI, mean fluorescence intensity</w:t>
      </w:r>
    </w:p>
    <w:p w14:paraId="0EFEFD9C" w14:textId="77777777" w:rsidR="00100C98" w:rsidRPr="00940CA3" w:rsidRDefault="00100C98" w:rsidP="00100C98">
      <w:pPr>
        <w:pStyle w:val="TSP31text"/>
        <w:rPr>
          <w:rFonts w:eastAsiaTheme="minorEastAsia" w:hint="eastAsia"/>
          <w:sz w:val="20"/>
          <w:szCs w:val="20"/>
          <w:lang w:eastAsia="zh-CN"/>
        </w:rPr>
      </w:pPr>
      <w:r w:rsidRPr="00940CA3">
        <w:rPr>
          <w:rFonts w:hint="eastAsia"/>
          <w:b/>
          <w:bCs/>
          <w:sz w:val="20"/>
          <w:szCs w:val="20"/>
          <w:lang w:eastAsia="zh-CN"/>
        </w:rPr>
        <w:t>Supplementary Figure S2</w:t>
      </w:r>
      <w:r w:rsidRPr="00940CA3">
        <w:rPr>
          <w:rFonts w:hint="eastAsia"/>
          <w:sz w:val="20"/>
          <w:szCs w:val="20"/>
          <w:lang w:eastAsia="zh-CN"/>
        </w:rPr>
        <w:t xml:space="preserve">. Representative dot plots for </w:t>
      </w:r>
      <w:r>
        <w:rPr>
          <w:rFonts w:hint="eastAsia"/>
          <w:sz w:val="20"/>
          <w:szCs w:val="20"/>
          <w:lang w:eastAsia="zh-CN"/>
        </w:rPr>
        <w:t xml:space="preserve">flow cytometry </w:t>
      </w:r>
      <w:r w:rsidRPr="00940CA3">
        <w:rPr>
          <w:rFonts w:hint="eastAsia"/>
          <w:sz w:val="20"/>
          <w:szCs w:val="20"/>
          <w:lang w:eastAsia="zh-CN"/>
        </w:rPr>
        <w:t>analyses</w:t>
      </w:r>
      <w:r>
        <w:rPr>
          <w:rFonts w:hint="eastAsia"/>
          <w:sz w:val="20"/>
          <w:szCs w:val="20"/>
          <w:lang w:eastAsia="zh-CN"/>
        </w:rPr>
        <w:t xml:space="preserve"> of T-</w:t>
      </w:r>
      <w:proofErr w:type="spellStart"/>
      <w:r>
        <w:rPr>
          <w:rFonts w:hint="eastAsia"/>
          <w:sz w:val="20"/>
          <w:szCs w:val="20"/>
          <w:lang w:eastAsia="zh-CN"/>
        </w:rPr>
        <w:t>lymphocyt</w:t>
      </w:r>
      <w:proofErr w:type="spellEnd"/>
      <w:r>
        <w:rPr>
          <w:rFonts w:hint="eastAsia"/>
          <w:sz w:val="20"/>
          <w:szCs w:val="20"/>
          <w:lang w:eastAsia="zh-CN"/>
        </w:rPr>
        <w:t xml:space="preserve"> apoptosis and proportions</w:t>
      </w:r>
      <w:r w:rsidRPr="00940CA3">
        <w:rPr>
          <w:rFonts w:hint="eastAsia"/>
          <w:sz w:val="20"/>
          <w:szCs w:val="20"/>
          <w:lang w:eastAsia="zh-CN"/>
        </w:rPr>
        <w:t>. (A) Proportions of apoptotic cells in T lymphocytes. (B) Proportions of T lymphocytes in</w:t>
      </w:r>
      <w:r>
        <w:rPr>
          <w:rFonts w:hint="eastAsia"/>
          <w:sz w:val="20"/>
          <w:szCs w:val="20"/>
          <w:lang w:eastAsia="zh-CN"/>
        </w:rPr>
        <w:t xml:space="preserve"> the</w:t>
      </w:r>
      <w:r w:rsidRPr="00940CA3">
        <w:rPr>
          <w:rFonts w:hint="eastAsia"/>
          <w:sz w:val="20"/>
          <w:szCs w:val="20"/>
          <w:lang w:eastAsia="zh-CN"/>
        </w:rPr>
        <w:t xml:space="preserve"> spleen. (C) Proportions of CD4+ and CD8+ </w:t>
      </w:r>
      <w:r>
        <w:rPr>
          <w:rFonts w:hint="eastAsia"/>
          <w:sz w:val="20"/>
          <w:szCs w:val="20"/>
          <w:lang w:eastAsia="zh-CN"/>
        </w:rPr>
        <w:t>cell</w:t>
      </w:r>
      <w:r w:rsidRPr="00940CA3">
        <w:rPr>
          <w:rFonts w:hint="eastAsia"/>
          <w:sz w:val="20"/>
          <w:szCs w:val="20"/>
          <w:lang w:eastAsia="zh-CN"/>
        </w:rPr>
        <w:t>s in T lymphocytes.</w:t>
      </w:r>
    </w:p>
    <w:p w14:paraId="6753FDE5" w14:textId="77777777" w:rsidR="00100C98" w:rsidRDefault="00100C98" w:rsidP="00100C9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402"/>
        <w:rPr>
          <w:snapToGrid w:val="0"/>
          <w:lang w:eastAsia="en-US" w:bidi="en-US"/>
        </w:rPr>
      </w:pPr>
      <w:r>
        <w:rPr>
          <w:b/>
          <w:bCs/>
          <w:snapToGrid w:val="0"/>
          <w:lang w:eastAsia="en-US" w:bidi="en-US"/>
        </w:rPr>
        <w:t xml:space="preserve">Supplementary Table </w:t>
      </w:r>
      <w:r>
        <w:rPr>
          <w:rFonts w:hint="eastAsia"/>
          <w:b/>
          <w:bCs/>
          <w:snapToGrid w:val="0"/>
          <w:lang w:bidi="en-US"/>
        </w:rPr>
        <w:t>S</w:t>
      </w:r>
      <w:r>
        <w:rPr>
          <w:b/>
          <w:bCs/>
          <w:snapToGrid w:val="0"/>
          <w:lang w:eastAsia="en-US" w:bidi="en-US"/>
        </w:rPr>
        <w:t>1</w:t>
      </w:r>
      <w:r>
        <w:rPr>
          <w:rFonts w:hint="eastAsia"/>
          <w:b/>
          <w:bCs/>
          <w:snapToGrid w:val="0"/>
          <w:lang w:bidi="en-US"/>
        </w:rPr>
        <w:t>.</w:t>
      </w:r>
      <w:r>
        <w:rPr>
          <w:rFonts w:hint="eastAsia"/>
          <w:snapToGrid w:val="0"/>
          <w:lang w:bidi="en-US"/>
        </w:rPr>
        <w:t xml:space="preserve"> </w:t>
      </w:r>
      <w:proofErr w:type="spellStart"/>
      <w:r>
        <w:rPr>
          <w:snapToGrid w:val="0"/>
          <w:lang w:eastAsia="en-US" w:bidi="en-US"/>
        </w:rPr>
        <w:t>qRT</w:t>
      </w:r>
      <w:proofErr w:type="spellEnd"/>
      <w:r>
        <w:rPr>
          <w:snapToGrid w:val="0"/>
          <w:lang w:eastAsia="en-US" w:bidi="en-US"/>
        </w:rPr>
        <w:t>-PCR primers</w:t>
      </w:r>
    </w:p>
    <w:p w14:paraId="1C402B30" w14:textId="77777777" w:rsidR="00100C98" w:rsidRDefault="00100C98" w:rsidP="00100C9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402"/>
        <w:rPr>
          <w:snapToGrid w:val="0"/>
          <w:lang w:eastAsia="en-US" w:bidi="en-US"/>
        </w:rPr>
      </w:pPr>
      <w:r>
        <w:rPr>
          <w:b/>
          <w:bCs/>
          <w:snapToGrid w:val="0"/>
          <w:lang w:eastAsia="en-US" w:bidi="en-US"/>
        </w:rPr>
        <w:t xml:space="preserve">Supplementary Table </w:t>
      </w:r>
      <w:r>
        <w:rPr>
          <w:rFonts w:hint="eastAsia"/>
          <w:b/>
          <w:bCs/>
          <w:snapToGrid w:val="0"/>
          <w:lang w:bidi="en-US"/>
        </w:rPr>
        <w:t>S</w:t>
      </w:r>
      <w:r>
        <w:rPr>
          <w:b/>
          <w:bCs/>
          <w:snapToGrid w:val="0"/>
          <w:lang w:eastAsia="en-US" w:bidi="en-US"/>
        </w:rPr>
        <w:t>2</w:t>
      </w:r>
      <w:r>
        <w:rPr>
          <w:rFonts w:hint="eastAsia"/>
          <w:b/>
          <w:bCs/>
          <w:snapToGrid w:val="0"/>
          <w:lang w:bidi="en-US"/>
        </w:rPr>
        <w:t xml:space="preserve">. </w:t>
      </w:r>
      <w:r>
        <w:rPr>
          <w:snapToGrid w:val="0"/>
          <w:lang w:eastAsia="en-US" w:bidi="en-US"/>
        </w:rPr>
        <w:t>Histopathology damage scoring</w:t>
      </w:r>
    </w:p>
    <w:p w14:paraId="64C5809D" w14:textId="77777777" w:rsidR="00100C98" w:rsidRDefault="00100C98" w:rsidP="00100C98">
      <w:pPr>
        <w:widowControl w:val="0"/>
        <w:kinsoku w:val="0"/>
        <w:overflowPunct w:val="0"/>
        <w:adjustRightInd w:val="0"/>
        <w:snapToGrid w:val="0"/>
        <w:spacing w:line="360" w:lineRule="auto"/>
        <w:ind w:firstLineChars="200" w:firstLine="402"/>
        <w:rPr>
          <w:snapToGrid w:val="0"/>
          <w:lang w:eastAsia="en-US" w:bidi="en-US"/>
        </w:rPr>
      </w:pPr>
      <w:r>
        <w:rPr>
          <w:b/>
          <w:bCs/>
          <w:snapToGrid w:val="0"/>
          <w:lang w:eastAsia="en-US" w:bidi="en-US"/>
        </w:rPr>
        <w:t xml:space="preserve">Supplementary Table </w:t>
      </w:r>
      <w:r>
        <w:rPr>
          <w:rFonts w:hint="eastAsia"/>
          <w:b/>
          <w:bCs/>
          <w:snapToGrid w:val="0"/>
          <w:lang w:bidi="en-US"/>
        </w:rPr>
        <w:t>S</w:t>
      </w:r>
      <w:r>
        <w:rPr>
          <w:b/>
          <w:bCs/>
          <w:snapToGrid w:val="0"/>
          <w:lang w:eastAsia="en-US" w:bidi="en-US"/>
        </w:rPr>
        <w:t>3</w:t>
      </w:r>
      <w:r>
        <w:rPr>
          <w:snapToGrid w:val="0"/>
          <w:lang w:eastAsia="en-US" w:bidi="en-US"/>
        </w:rPr>
        <w:t>. Mice status scores</w:t>
      </w:r>
    </w:p>
    <w:p w14:paraId="72957832" w14:textId="77777777" w:rsidR="005C0CC9" w:rsidRPr="00100C98" w:rsidRDefault="005C0CC9">
      <w:pPr>
        <w:rPr>
          <w:rFonts w:hint="eastAsia"/>
        </w:rPr>
      </w:pPr>
    </w:p>
    <w:sectPr w:rsidR="005C0CC9" w:rsidRPr="00100C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default"/>
    <w:sig w:usb0="00000000" w:usb1="00000000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C98"/>
    <w:rsid w:val="00100C98"/>
    <w:rsid w:val="005C0CC9"/>
    <w:rsid w:val="0098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7AD9C5"/>
  <w15:chartTrackingRefBased/>
  <w15:docId w15:val="{52CFB02B-F115-4D3E-BEA1-0AAEC4AC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0C98"/>
    <w:pPr>
      <w:spacing w:line="260" w:lineRule="atLeast"/>
      <w:jc w:val="both"/>
    </w:pPr>
    <w:rPr>
      <w:rFonts w:ascii="Minion Pro" w:eastAsia="宋体" w:hAnsi="Minion Pro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00C98"/>
    <w:pPr>
      <w:keepNext/>
      <w:keepLines/>
      <w:widowControl w:val="0"/>
      <w:spacing w:before="48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0C98"/>
    <w:pPr>
      <w:keepNext/>
      <w:keepLines/>
      <w:widowControl w:val="0"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0C98"/>
    <w:pPr>
      <w:keepNext/>
      <w:keepLines/>
      <w:widowControl w:val="0"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C98"/>
    <w:pPr>
      <w:keepNext/>
      <w:keepLines/>
      <w:widowControl w:val="0"/>
      <w:spacing w:before="80" w:after="40" w:line="240" w:lineRule="auto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0C98"/>
    <w:pPr>
      <w:keepNext/>
      <w:keepLines/>
      <w:widowControl w:val="0"/>
      <w:spacing w:before="80" w:after="40" w:line="240" w:lineRule="auto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0C98"/>
    <w:pPr>
      <w:keepNext/>
      <w:keepLines/>
      <w:widowControl w:val="0"/>
      <w:spacing w:before="40" w:line="240" w:lineRule="auto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0C98"/>
    <w:pPr>
      <w:keepNext/>
      <w:keepLines/>
      <w:widowControl w:val="0"/>
      <w:spacing w:before="40" w:line="240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0C98"/>
    <w:pPr>
      <w:keepNext/>
      <w:keepLines/>
      <w:widowControl w:val="0"/>
      <w:spacing w:line="240" w:lineRule="auto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0C98"/>
    <w:pPr>
      <w:keepNext/>
      <w:keepLines/>
      <w:widowControl w:val="0"/>
      <w:spacing w:line="240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00C9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00C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00C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00C9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00C98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00C9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00C9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00C9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00C9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00C98"/>
    <w:pPr>
      <w:widowControl w:val="0"/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00C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0C98"/>
    <w:pPr>
      <w:widowControl w:val="0"/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00C9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00C98"/>
    <w:pPr>
      <w:widowControl w:val="0"/>
      <w:spacing w:before="160" w:after="160" w:line="240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 字符"/>
    <w:basedOn w:val="a0"/>
    <w:link w:val="a7"/>
    <w:uiPriority w:val="29"/>
    <w:rsid w:val="00100C9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00C98"/>
    <w:pPr>
      <w:widowControl w:val="0"/>
      <w:spacing w:line="240" w:lineRule="auto"/>
      <w:ind w:left="720"/>
      <w:contextualSpacing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styleId="aa">
    <w:name w:val="Intense Emphasis"/>
    <w:basedOn w:val="a0"/>
    <w:uiPriority w:val="21"/>
    <w:qFormat/>
    <w:rsid w:val="00100C9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00C98"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1"/>
      <w:szCs w:val="22"/>
    </w:rPr>
  </w:style>
  <w:style w:type="character" w:customStyle="1" w:styleId="ac">
    <w:name w:val="明显引用 字符"/>
    <w:basedOn w:val="a0"/>
    <w:link w:val="ab"/>
    <w:uiPriority w:val="30"/>
    <w:rsid w:val="00100C9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00C98"/>
    <w:rPr>
      <w:b/>
      <w:bCs/>
      <w:smallCaps/>
      <w:color w:val="2F5496" w:themeColor="accent1" w:themeShade="BF"/>
      <w:spacing w:val="5"/>
    </w:rPr>
  </w:style>
  <w:style w:type="paragraph" w:customStyle="1" w:styleId="TSP31text">
    <w:name w:val="TSP_3.1_text"/>
    <w:qFormat/>
    <w:rsid w:val="00100C98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568</Characters>
  <Application>Microsoft Office Word</Application>
  <DocSecurity>0</DocSecurity>
  <Lines>8</Lines>
  <Paragraphs>2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1</cp:revision>
  <dcterms:created xsi:type="dcterms:W3CDTF">2025-04-11T07:55:00Z</dcterms:created>
  <dcterms:modified xsi:type="dcterms:W3CDTF">2025-04-11T07:56:00Z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4e4bfd5d-dad1-41ef-bf93-12225b568831</vt:lpwstr>
  </property>
</Properties>
</file>